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E4E" w:rsidP="00B06E4E" w:rsidRDefault="00B06E4E" w14:paraId="3A92D141" w14:textId="77777777">
      <w:pPr>
        <w:jc w:val="center"/>
      </w:pPr>
      <w:r>
        <w:t>Long Term Planning</w:t>
      </w:r>
      <w:r w:rsidR="008A0959">
        <w:t xml:space="preserve"> Year 7</w:t>
      </w:r>
    </w:p>
    <w:tbl>
      <w:tblPr>
        <w:tblStyle w:val="TableGrid"/>
        <w:tblW w:w="20921" w:type="dxa"/>
        <w:tblLook w:val="04A0" w:firstRow="1" w:lastRow="0" w:firstColumn="1" w:lastColumn="0" w:noHBand="0" w:noVBand="1"/>
      </w:tblPr>
      <w:tblGrid>
        <w:gridCol w:w="1804"/>
        <w:gridCol w:w="1857"/>
        <w:gridCol w:w="1728"/>
        <w:gridCol w:w="172"/>
        <w:gridCol w:w="1901"/>
        <w:gridCol w:w="1499"/>
        <w:gridCol w:w="1871"/>
        <w:gridCol w:w="1427"/>
        <w:gridCol w:w="172"/>
        <w:gridCol w:w="1824"/>
        <w:gridCol w:w="1552"/>
        <w:gridCol w:w="1805"/>
        <w:gridCol w:w="1544"/>
        <w:gridCol w:w="1765"/>
      </w:tblGrid>
      <w:tr w:rsidR="00B931C2" w:rsidTr="1C0BBC7A" w14:paraId="7131232F" w14:textId="77777777">
        <w:tc>
          <w:tcPr>
            <w:tcW w:w="3661" w:type="dxa"/>
            <w:gridSpan w:val="2"/>
            <w:shd w:val="clear" w:color="auto" w:fill="960000"/>
            <w:tcMar/>
          </w:tcPr>
          <w:p w:rsidRPr="00B811ED" w:rsidR="00B06E4E" w:rsidP="0076663B" w:rsidRDefault="00B06E4E" w14:paraId="2D727A90" w14:textId="77777777">
            <w:pPr>
              <w:jc w:val="center"/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Autumn 1</w:t>
            </w:r>
            <w:r w:rsidRPr="00B811ED" w:rsidR="00EC4A04">
              <w:rPr>
                <w:color w:val="000000" w:themeColor="text1"/>
              </w:rPr>
              <w:t xml:space="preserve"> (7 weeks)</w:t>
            </w:r>
          </w:p>
        </w:tc>
        <w:tc>
          <w:tcPr>
            <w:tcW w:w="3801" w:type="dxa"/>
            <w:gridSpan w:val="3"/>
            <w:shd w:val="clear" w:color="auto" w:fill="D92F2B"/>
            <w:tcMar/>
          </w:tcPr>
          <w:p w:rsidRPr="00B811ED" w:rsidR="00B06E4E" w:rsidP="0076663B" w:rsidRDefault="00B06E4E" w14:paraId="1BD4B8E3" w14:textId="77777777">
            <w:pPr>
              <w:jc w:val="center"/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Autumn 2</w:t>
            </w:r>
            <w:r w:rsidRPr="00B811ED" w:rsidR="00EC4A04">
              <w:rPr>
                <w:color w:val="000000" w:themeColor="text1"/>
              </w:rPr>
              <w:t xml:space="preserve"> (7 Weeks)</w:t>
            </w:r>
          </w:p>
        </w:tc>
        <w:tc>
          <w:tcPr>
            <w:tcW w:w="3370" w:type="dxa"/>
            <w:gridSpan w:val="2"/>
            <w:shd w:val="clear" w:color="auto" w:fill="E05552"/>
            <w:tcMar/>
          </w:tcPr>
          <w:p w:rsidR="00B06E4E" w:rsidP="0076663B" w:rsidRDefault="00B06E4E" w14:paraId="4AC59662" w14:textId="77777777">
            <w:pPr>
              <w:jc w:val="center"/>
            </w:pPr>
            <w:r>
              <w:t>Spring 1</w:t>
            </w:r>
            <w:r w:rsidR="00EC4A04">
              <w:t xml:space="preserve"> (6 Weeks)</w:t>
            </w:r>
          </w:p>
        </w:tc>
        <w:tc>
          <w:tcPr>
            <w:tcW w:w="3423" w:type="dxa"/>
            <w:gridSpan w:val="3"/>
            <w:shd w:val="clear" w:color="auto" w:fill="E36663"/>
            <w:tcMar/>
          </w:tcPr>
          <w:p w:rsidR="00B06E4E" w:rsidP="0076663B" w:rsidRDefault="00B06E4E" w14:paraId="1927171A" w14:textId="77777777">
            <w:pPr>
              <w:jc w:val="center"/>
            </w:pPr>
            <w:r>
              <w:t>Spring 2</w:t>
            </w:r>
            <w:r w:rsidR="00EC4A04">
              <w:t xml:space="preserve"> (6 weeks)</w:t>
            </w:r>
          </w:p>
        </w:tc>
        <w:tc>
          <w:tcPr>
            <w:tcW w:w="3357" w:type="dxa"/>
            <w:gridSpan w:val="2"/>
            <w:shd w:val="clear" w:color="auto" w:fill="ED9997"/>
            <w:tcMar/>
          </w:tcPr>
          <w:p w:rsidR="00B06E4E" w:rsidP="0076663B" w:rsidRDefault="00B06E4E" w14:paraId="0BAE10B2" w14:textId="77777777">
            <w:pPr>
              <w:jc w:val="center"/>
            </w:pPr>
            <w:r>
              <w:t>Summer 1</w:t>
            </w:r>
            <w:r w:rsidR="00EC4A04">
              <w:t xml:space="preserve"> (6 weeks)</w:t>
            </w:r>
          </w:p>
        </w:tc>
        <w:tc>
          <w:tcPr>
            <w:tcW w:w="3309" w:type="dxa"/>
            <w:gridSpan w:val="2"/>
            <w:shd w:val="clear" w:color="auto" w:fill="F4C3C2"/>
            <w:tcMar/>
          </w:tcPr>
          <w:p w:rsidR="00B06E4E" w:rsidP="0076663B" w:rsidRDefault="00B06E4E" w14:paraId="2FC344BF" w14:textId="77777777">
            <w:pPr>
              <w:jc w:val="center"/>
            </w:pPr>
            <w:r>
              <w:t>Summer 2</w:t>
            </w:r>
            <w:r w:rsidR="00EC4A04">
              <w:t xml:space="preserve"> (7 weeks)</w:t>
            </w:r>
          </w:p>
        </w:tc>
      </w:tr>
      <w:tr w:rsidR="0076663B" w:rsidTr="1C0BBC7A" w14:paraId="6CB94577" w14:textId="77777777">
        <w:tc>
          <w:tcPr>
            <w:tcW w:w="3661" w:type="dxa"/>
            <w:gridSpan w:val="2"/>
            <w:shd w:val="clear" w:color="auto" w:fill="960000"/>
            <w:tcMar/>
          </w:tcPr>
          <w:p w:rsidRPr="00B811ED" w:rsidR="0076663B" w:rsidP="0076663B" w:rsidRDefault="0076663B" w14:paraId="051FAD13" w14:textId="77777777">
            <w:pPr>
              <w:jc w:val="center"/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SPAG Focus for this half-term</w:t>
            </w:r>
          </w:p>
        </w:tc>
        <w:tc>
          <w:tcPr>
            <w:tcW w:w="3801" w:type="dxa"/>
            <w:gridSpan w:val="3"/>
            <w:shd w:val="clear" w:color="auto" w:fill="D92F2B"/>
            <w:tcMar/>
          </w:tcPr>
          <w:p w:rsidRPr="00B811ED" w:rsidR="0076663B" w:rsidP="0076663B" w:rsidRDefault="0076663B" w14:paraId="2B3F7411" w14:textId="77777777">
            <w:pPr>
              <w:jc w:val="center"/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SPAG Focus for this half-term</w:t>
            </w:r>
          </w:p>
        </w:tc>
        <w:tc>
          <w:tcPr>
            <w:tcW w:w="3370" w:type="dxa"/>
            <w:gridSpan w:val="2"/>
            <w:shd w:val="clear" w:color="auto" w:fill="E05552"/>
            <w:tcMar/>
          </w:tcPr>
          <w:p w:rsidR="0076663B" w:rsidP="0076663B" w:rsidRDefault="0076663B" w14:paraId="3C547290" w14:textId="77777777">
            <w:pPr>
              <w:jc w:val="center"/>
            </w:pPr>
            <w:r>
              <w:t>SPAG Focus for this half-term</w:t>
            </w:r>
          </w:p>
        </w:tc>
        <w:tc>
          <w:tcPr>
            <w:tcW w:w="3423" w:type="dxa"/>
            <w:gridSpan w:val="3"/>
            <w:shd w:val="clear" w:color="auto" w:fill="E36663"/>
            <w:tcMar/>
          </w:tcPr>
          <w:p w:rsidR="0076663B" w:rsidP="0076663B" w:rsidRDefault="0076663B" w14:paraId="0EBBD59B" w14:textId="77777777">
            <w:pPr>
              <w:jc w:val="center"/>
            </w:pPr>
            <w:r>
              <w:t>SPAG Focus for this half-term</w:t>
            </w:r>
          </w:p>
        </w:tc>
        <w:tc>
          <w:tcPr>
            <w:tcW w:w="3357" w:type="dxa"/>
            <w:gridSpan w:val="2"/>
            <w:shd w:val="clear" w:color="auto" w:fill="ED9997"/>
            <w:tcMar/>
          </w:tcPr>
          <w:p w:rsidR="0076663B" w:rsidP="0076663B" w:rsidRDefault="0076663B" w14:paraId="56FE663C" w14:textId="77777777">
            <w:pPr>
              <w:jc w:val="center"/>
            </w:pPr>
            <w:r>
              <w:t>SPAG Focus for this half-term</w:t>
            </w:r>
          </w:p>
        </w:tc>
        <w:tc>
          <w:tcPr>
            <w:tcW w:w="3309" w:type="dxa"/>
            <w:gridSpan w:val="2"/>
            <w:shd w:val="clear" w:color="auto" w:fill="F4C3C2"/>
            <w:tcMar/>
          </w:tcPr>
          <w:p w:rsidR="0076663B" w:rsidP="0076663B" w:rsidRDefault="0076663B" w14:paraId="78A4FE36" w14:textId="77777777">
            <w:pPr>
              <w:jc w:val="center"/>
            </w:pPr>
            <w:r>
              <w:t>SPAG Focus for this half-term</w:t>
            </w:r>
          </w:p>
        </w:tc>
      </w:tr>
      <w:tr w:rsidR="00CE1182" w:rsidTr="1C0BBC7A" w14:paraId="48677BC5" w14:textId="77777777">
        <w:tc>
          <w:tcPr>
            <w:tcW w:w="1804" w:type="dxa"/>
            <w:shd w:val="clear" w:color="auto" w:fill="960000"/>
            <w:tcMar/>
          </w:tcPr>
          <w:p w:rsidRPr="00B811ED" w:rsidR="008C1D33" w:rsidP="008C1D33" w:rsidRDefault="008C1D33" w14:paraId="1AAADD25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Full stops and Capital letters</w:t>
            </w:r>
          </w:p>
          <w:p w:rsidRPr="00B811ED" w:rsidR="008C1D33" w:rsidP="008C1D33" w:rsidRDefault="008C1D33" w14:paraId="27F2921C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Syllables,</w:t>
            </w:r>
          </w:p>
          <w:p w:rsidRPr="00B811ED" w:rsidR="008C1D33" w:rsidP="008C1D33" w:rsidRDefault="008C1D33" w14:paraId="1FDC0275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vowels and consonants</w:t>
            </w:r>
          </w:p>
          <w:p w:rsidRPr="00B811ED" w:rsidR="008C1D33" w:rsidP="008C1D33" w:rsidRDefault="008C1D33" w14:paraId="56570484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Commas</w:t>
            </w:r>
          </w:p>
          <w:p w:rsidRPr="00B811ED" w:rsidR="00EC4A04" w:rsidRDefault="00EC4A04" w14:paraId="635516C4" w14:textId="77777777">
            <w:pPr>
              <w:rPr>
                <w:color w:val="000000" w:themeColor="text1"/>
              </w:rPr>
            </w:pPr>
          </w:p>
        </w:tc>
        <w:tc>
          <w:tcPr>
            <w:tcW w:w="1857" w:type="dxa"/>
            <w:shd w:val="clear" w:color="auto" w:fill="960000"/>
            <w:tcMar/>
          </w:tcPr>
          <w:p w:rsidRPr="00B811ED" w:rsidR="008C1D33" w:rsidP="008C1D33" w:rsidRDefault="008C1D33" w14:paraId="52573CBC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Nouns, verbs, adjectives</w:t>
            </w:r>
          </w:p>
          <w:p w:rsidRPr="00B811ED" w:rsidR="008C1D33" w:rsidP="008C1D33" w:rsidRDefault="008C1D33" w14:paraId="77C1E8D6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Adverbs</w:t>
            </w:r>
          </w:p>
          <w:p w:rsidRPr="00B811ED" w:rsidR="008C1D33" w:rsidP="008C1D33" w:rsidRDefault="008C1D33" w14:paraId="650E5333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Definite / indefinite article</w:t>
            </w:r>
          </w:p>
          <w:p w:rsidRPr="00B811ED" w:rsidR="00EC4A04" w:rsidRDefault="00EC4A04" w14:paraId="719AB64C" w14:textId="77777777">
            <w:pPr>
              <w:rPr>
                <w:color w:val="000000" w:themeColor="text1"/>
              </w:rPr>
            </w:pPr>
          </w:p>
        </w:tc>
        <w:tc>
          <w:tcPr>
            <w:tcW w:w="1900" w:type="dxa"/>
            <w:gridSpan w:val="2"/>
            <w:shd w:val="clear" w:color="auto" w:fill="D92F2B"/>
            <w:tcMar/>
          </w:tcPr>
          <w:p w:rsidRPr="00B811ED" w:rsidR="008C1D33" w:rsidP="008C1D33" w:rsidRDefault="008C1D33" w14:paraId="57507B97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Question Marks</w:t>
            </w:r>
          </w:p>
          <w:p w:rsidRPr="00B811ED" w:rsidR="008C1D33" w:rsidP="008C1D33" w:rsidRDefault="008C1D33" w14:paraId="45A244F8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Exclamation Marks</w:t>
            </w:r>
          </w:p>
          <w:p w:rsidRPr="00B811ED" w:rsidR="008C1D33" w:rsidP="008C1D33" w:rsidRDefault="008C1D33" w14:paraId="7D3CB442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Brackets</w:t>
            </w:r>
          </w:p>
          <w:p w:rsidRPr="00B811ED" w:rsidR="00EC4A04" w:rsidRDefault="00EC4A04" w14:paraId="1CDC43D6" w14:textId="77777777">
            <w:pPr>
              <w:rPr>
                <w:color w:val="000000" w:themeColor="text1"/>
              </w:rPr>
            </w:pPr>
          </w:p>
        </w:tc>
        <w:tc>
          <w:tcPr>
            <w:tcW w:w="1901" w:type="dxa"/>
            <w:shd w:val="clear" w:color="auto" w:fill="D92F2B"/>
            <w:tcMar/>
          </w:tcPr>
          <w:p w:rsidRPr="00B811ED" w:rsidR="008C1D33" w:rsidP="008C1D33" w:rsidRDefault="008C1D33" w14:paraId="492325F5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Apostrophes</w:t>
            </w:r>
          </w:p>
          <w:p w:rsidRPr="00B811ED" w:rsidR="008C1D33" w:rsidP="008C1D33" w:rsidRDefault="008C1D33" w14:paraId="64741134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Conjunctions (coordinating</w:t>
            </w:r>
          </w:p>
          <w:p w:rsidRPr="00B811ED" w:rsidR="008C1D33" w:rsidP="008C1D33" w:rsidRDefault="008C1D33" w14:paraId="53C4D2A1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/subordinating)</w:t>
            </w:r>
          </w:p>
          <w:p w:rsidRPr="00B811ED" w:rsidR="00EC4A04" w:rsidP="00EC4A04" w:rsidRDefault="00EC4A04" w14:paraId="40D1430E" w14:textId="77777777">
            <w:pPr>
              <w:rPr>
                <w:color w:val="000000" w:themeColor="text1"/>
              </w:rPr>
            </w:pPr>
          </w:p>
        </w:tc>
        <w:tc>
          <w:tcPr>
            <w:tcW w:w="1499" w:type="dxa"/>
            <w:shd w:val="clear" w:color="auto" w:fill="E05552"/>
            <w:tcMar/>
          </w:tcPr>
          <w:p w:rsidR="00EC4A04" w:rsidP="00EC4A04" w:rsidRDefault="00EC4A04" w14:paraId="37063E63" w14:textId="77777777">
            <w:r>
              <w:t>Colons</w:t>
            </w:r>
          </w:p>
          <w:p w:rsidR="00EC4A04" w:rsidP="00EC4A04" w:rsidRDefault="00EC4A04" w14:paraId="05942EB1" w14:textId="77777777">
            <w:r>
              <w:t>Ellipses</w:t>
            </w:r>
          </w:p>
          <w:p w:rsidR="00EC4A04" w:rsidP="00EC4A04" w:rsidRDefault="00EC4A04" w14:paraId="20CFDDCC" w14:textId="77777777">
            <w:r>
              <w:t>Semi-colons</w:t>
            </w:r>
          </w:p>
          <w:p w:rsidR="00EC4A04" w:rsidRDefault="00EC4A04" w14:paraId="617C9600" w14:textId="77777777"/>
        </w:tc>
        <w:tc>
          <w:tcPr>
            <w:tcW w:w="1871" w:type="dxa"/>
            <w:shd w:val="clear" w:color="auto" w:fill="E05552"/>
            <w:tcMar/>
          </w:tcPr>
          <w:p w:rsidR="00EC4A04" w:rsidRDefault="00AC3E85" w14:paraId="501E6B27" w14:textId="77777777">
            <w:r>
              <w:t>Clauses</w:t>
            </w:r>
          </w:p>
          <w:p w:rsidR="00AC3E85" w:rsidRDefault="00AC3E85" w14:paraId="1AC98077" w14:textId="77777777">
            <w:r>
              <w:t>Simple sentences</w:t>
            </w:r>
          </w:p>
          <w:p w:rsidR="00AC3E85" w:rsidRDefault="00AC3E85" w14:paraId="69B8D8E3" w14:textId="77777777">
            <w:r>
              <w:t>Mixing dependent and independent clauses</w:t>
            </w:r>
          </w:p>
          <w:p w:rsidR="00AC3E85" w:rsidRDefault="00AC3E85" w14:paraId="5F1BFC72" w14:textId="77777777">
            <w:r>
              <w:t>Relative clauses</w:t>
            </w:r>
          </w:p>
          <w:p w:rsidR="00AC3E85" w:rsidRDefault="00AC3E85" w14:paraId="12565AB1" w14:textId="6BE06239">
            <w:r>
              <w:t>Adverbial clauses</w:t>
            </w:r>
          </w:p>
        </w:tc>
        <w:tc>
          <w:tcPr>
            <w:tcW w:w="1427" w:type="dxa"/>
            <w:shd w:val="clear" w:color="auto" w:fill="E36663"/>
            <w:tcMar/>
          </w:tcPr>
          <w:p w:rsidR="00EC4A04" w:rsidP="00EC4A04" w:rsidRDefault="00EC4A04" w14:paraId="15E1FD9D" w14:textId="77777777">
            <w:r>
              <w:t>Speech marks</w:t>
            </w:r>
          </w:p>
          <w:p w:rsidR="00EC4A04" w:rsidP="00EC4A04" w:rsidRDefault="00EC4A04" w14:paraId="19CB2430" w14:textId="77777777">
            <w:r>
              <w:t>Paragraphs</w:t>
            </w:r>
          </w:p>
          <w:p w:rsidR="00EC4A04" w:rsidRDefault="00EC4A04" w14:paraId="2138091A" w14:textId="77777777"/>
        </w:tc>
        <w:tc>
          <w:tcPr>
            <w:tcW w:w="1996" w:type="dxa"/>
            <w:gridSpan w:val="2"/>
            <w:shd w:val="clear" w:color="auto" w:fill="E36663"/>
            <w:tcMar/>
          </w:tcPr>
          <w:p w:rsidR="00EC4A04" w:rsidP="00EC4A04" w:rsidRDefault="00EC4A04" w14:paraId="7DC1DEBE" w14:textId="77777777">
            <w:r>
              <w:t xml:space="preserve">Modal verbs </w:t>
            </w:r>
          </w:p>
          <w:p w:rsidR="00EC4A04" w:rsidP="00EC4A04" w:rsidRDefault="00EC4A04" w14:paraId="118B16FD" w14:textId="77777777">
            <w:r>
              <w:t>infinitives</w:t>
            </w:r>
          </w:p>
          <w:p w:rsidR="00EC4A04" w:rsidRDefault="00EC4A04" w14:paraId="1FFD940C" w14:textId="77777777"/>
        </w:tc>
        <w:tc>
          <w:tcPr>
            <w:tcW w:w="1552" w:type="dxa"/>
            <w:shd w:val="clear" w:color="auto" w:fill="ED9997"/>
            <w:tcMar/>
          </w:tcPr>
          <w:p w:rsidR="00EC4A04" w:rsidP="00EC4A04" w:rsidRDefault="00EC4A04" w14:paraId="5E25434F" w14:textId="77777777">
            <w:r>
              <w:t>Root Words</w:t>
            </w:r>
          </w:p>
          <w:p w:rsidR="008C1D33" w:rsidP="008C1D33" w:rsidRDefault="008C1D33" w14:paraId="56941B51" w14:textId="77777777">
            <w:r>
              <w:t>Prefixes</w:t>
            </w:r>
          </w:p>
          <w:p w:rsidR="008C1D33" w:rsidP="008C1D33" w:rsidRDefault="008C1D33" w14:paraId="0AE8E8AB" w14:textId="77777777">
            <w:r>
              <w:t>Suffixes</w:t>
            </w:r>
          </w:p>
          <w:p w:rsidR="00EC4A04" w:rsidRDefault="00EC4A04" w14:paraId="24328D5D" w14:textId="77777777"/>
        </w:tc>
        <w:tc>
          <w:tcPr>
            <w:tcW w:w="1805" w:type="dxa"/>
            <w:shd w:val="clear" w:color="auto" w:fill="ED9997"/>
            <w:tcMar/>
          </w:tcPr>
          <w:p w:rsidR="00EC4A04" w:rsidP="00EC4A04" w:rsidRDefault="00EC4A04" w14:paraId="4265E6D3" w14:textId="77777777">
            <w:r>
              <w:t>Past tense</w:t>
            </w:r>
          </w:p>
          <w:p w:rsidR="00EC4A04" w:rsidP="00EC4A04" w:rsidRDefault="00EC4A04" w14:paraId="5A5515C7" w14:textId="77777777">
            <w:r>
              <w:t>Present tense</w:t>
            </w:r>
          </w:p>
          <w:p w:rsidR="00EC4A04" w:rsidP="00EC4A04" w:rsidRDefault="00EC4A04" w14:paraId="0D314711" w14:textId="77777777">
            <w:r>
              <w:t xml:space="preserve">Future tense </w:t>
            </w:r>
          </w:p>
          <w:p w:rsidR="00EC4A04" w:rsidRDefault="00EC4A04" w14:paraId="36800D80" w14:textId="77777777"/>
        </w:tc>
        <w:tc>
          <w:tcPr>
            <w:tcW w:w="1544" w:type="dxa"/>
            <w:shd w:val="clear" w:color="auto" w:fill="F4C3C2"/>
            <w:tcMar/>
          </w:tcPr>
          <w:p w:rsidR="008C1D33" w:rsidP="008C1D33" w:rsidRDefault="008C1D33" w14:paraId="6992B56C" w14:textId="77777777">
            <w:r>
              <w:t>Regular verbs</w:t>
            </w:r>
          </w:p>
          <w:p w:rsidR="008C1D33" w:rsidP="008C1D33" w:rsidRDefault="008C1D33" w14:paraId="3C46ECD7" w14:textId="77777777">
            <w:r>
              <w:t>Irregular verbs</w:t>
            </w:r>
          </w:p>
          <w:p w:rsidR="00EC4A04" w:rsidRDefault="00EC4A04" w14:paraId="07F8D092" w14:textId="77777777"/>
        </w:tc>
        <w:tc>
          <w:tcPr>
            <w:tcW w:w="1765" w:type="dxa"/>
            <w:shd w:val="clear" w:color="auto" w:fill="F4C3C2"/>
            <w:tcMar/>
          </w:tcPr>
          <w:p w:rsidR="00EC4A04" w:rsidP="00EC4A04" w:rsidRDefault="00EC4A04" w14:paraId="6F662A0F" w14:textId="77777777">
            <w:r>
              <w:t>Prepositions</w:t>
            </w:r>
          </w:p>
          <w:p w:rsidR="00EC4A04" w:rsidP="00EC4A04" w:rsidRDefault="00EC4A04" w14:paraId="3D68640E" w14:textId="77777777">
            <w:r>
              <w:t>Pronouns</w:t>
            </w:r>
          </w:p>
          <w:p w:rsidR="00EC4A04" w:rsidP="00EC4A04" w:rsidRDefault="00EC4A04" w14:paraId="68D3486C" w14:textId="77777777">
            <w:r>
              <w:t>Double negatives</w:t>
            </w:r>
          </w:p>
          <w:p w:rsidR="00EC4A04" w:rsidRDefault="00EC4A04" w14:paraId="0C8E4130" w14:textId="77777777"/>
        </w:tc>
      </w:tr>
      <w:tr w:rsidR="00886B4A" w:rsidTr="1C0BBC7A" w14:paraId="4A9D861A" w14:textId="77777777">
        <w:tc>
          <w:tcPr>
            <w:tcW w:w="3661" w:type="dxa"/>
            <w:gridSpan w:val="2"/>
            <w:shd w:val="clear" w:color="auto" w:fill="960000"/>
            <w:tcMar/>
          </w:tcPr>
          <w:p w:rsidRPr="00B811ED" w:rsidR="00886B4A" w:rsidRDefault="00886B4A" w14:paraId="1B1DE48C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Modern Novel</w:t>
            </w:r>
          </w:p>
          <w:p w:rsidRPr="00B811ED" w:rsidR="00886B4A" w:rsidRDefault="00886B4A" w14:paraId="64D5887A" w14:textId="77777777">
            <w:pPr>
              <w:rPr>
                <w:color w:val="000000" w:themeColor="text1"/>
              </w:rPr>
            </w:pPr>
          </w:p>
          <w:p w:rsidRPr="00B811ED" w:rsidR="000579B5" w:rsidRDefault="00A41206" w14:paraId="05558366" w14:textId="17B22B10">
            <w:pPr>
              <w:rPr>
                <w:color w:val="000000" w:themeColor="text1"/>
              </w:rPr>
            </w:pPr>
            <w:r w:rsidRPr="376F4D01" w:rsidR="00A41206">
              <w:rPr>
                <w:color w:val="000000" w:themeColor="text1" w:themeTint="FF" w:themeShade="FF"/>
              </w:rPr>
              <w:t>Holes</w:t>
            </w:r>
            <w:r w:rsidRPr="376F4D01" w:rsidR="004C0009">
              <w:rPr>
                <w:color w:val="000000" w:themeColor="text1" w:themeTint="FF" w:themeShade="FF"/>
              </w:rPr>
              <w:t xml:space="preserve">, </w:t>
            </w:r>
            <w:r w:rsidRPr="376F4D01" w:rsidR="00A41206">
              <w:rPr>
                <w:color w:val="000000" w:themeColor="text1" w:themeTint="FF" w:themeShade="FF"/>
              </w:rPr>
              <w:t>Boy</w:t>
            </w:r>
            <w:r w:rsidRPr="376F4D01" w:rsidR="004C0009">
              <w:rPr>
                <w:color w:val="000000" w:themeColor="text1" w:themeTint="FF" w:themeShade="FF"/>
              </w:rPr>
              <w:t xml:space="preserve">, </w:t>
            </w:r>
            <w:r w:rsidRPr="376F4D01" w:rsidR="00A41206">
              <w:rPr>
                <w:color w:val="000000" w:themeColor="text1" w:themeTint="FF" w:themeShade="FF"/>
              </w:rPr>
              <w:t>Skellig</w:t>
            </w:r>
            <w:r w:rsidRPr="376F4D01" w:rsidR="004C0009">
              <w:rPr>
                <w:color w:val="000000" w:themeColor="text1" w:themeTint="FF" w:themeShade="FF"/>
              </w:rPr>
              <w:t xml:space="preserve">, </w:t>
            </w:r>
            <w:r w:rsidRPr="376F4D01" w:rsidR="00A41206">
              <w:rPr>
                <w:color w:val="000000" w:themeColor="text1" w:themeTint="FF" w:themeShade="FF"/>
              </w:rPr>
              <w:t>Millions</w:t>
            </w:r>
            <w:r w:rsidRPr="376F4D01" w:rsidR="004C0009">
              <w:rPr>
                <w:color w:val="000000" w:themeColor="text1" w:themeTint="FF" w:themeShade="FF"/>
              </w:rPr>
              <w:t xml:space="preserve">, </w:t>
            </w:r>
            <w:r w:rsidRPr="376F4D01" w:rsidR="00A41206">
              <w:rPr>
                <w:color w:val="000000" w:themeColor="text1" w:themeTint="FF" w:themeShade="FF"/>
              </w:rPr>
              <w:t>A Monster Calls</w:t>
            </w:r>
            <w:r w:rsidRPr="376F4D01" w:rsidR="004C0009">
              <w:rPr>
                <w:color w:val="000000" w:themeColor="text1" w:themeTint="FF" w:themeShade="FF"/>
              </w:rPr>
              <w:t xml:space="preserve">, </w:t>
            </w:r>
            <w:r w:rsidRPr="376F4D01" w:rsidR="004838D5">
              <w:rPr>
                <w:color w:val="000000" w:themeColor="text1" w:themeTint="FF" w:themeShade="FF"/>
              </w:rPr>
              <w:t>The Nowhere Emporium</w:t>
            </w:r>
            <w:r w:rsidRPr="376F4D01" w:rsidR="00830414">
              <w:rPr>
                <w:color w:val="000000" w:themeColor="text1" w:themeTint="FF" w:themeShade="FF"/>
              </w:rPr>
              <w:t xml:space="preserve">, Number the Stars. </w:t>
            </w:r>
          </w:p>
          <w:p w:rsidRPr="00B811ED" w:rsidR="000579B5" w:rsidRDefault="000579B5" w14:paraId="3C9E94BB" w14:textId="4C188C72">
            <w:pPr>
              <w:rPr>
                <w:color w:val="000000" w:themeColor="text1"/>
              </w:rPr>
            </w:pPr>
          </w:p>
          <w:p w:rsidRPr="00B811ED" w:rsidR="004C0009" w:rsidRDefault="004C0009" w14:paraId="64D0C568" w14:textId="77777777">
            <w:pPr>
              <w:rPr>
                <w:color w:val="000000" w:themeColor="text1"/>
              </w:rPr>
            </w:pPr>
          </w:p>
          <w:p w:rsidRPr="00B811ED" w:rsidR="00886B4A" w:rsidRDefault="000579B5" w14:paraId="2ABC9803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Commencing with a modern novel to gauge students’ reading interests and capabilities as well as introducing the fundamental paragraph structure used in the department throughout the year groups: what, how, why?</w:t>
            </w:r>
          </w:p>
          <w:p w:rsidRPr="00B811ED" w:rsidR="00886B4A" w:rsidRDefault="000579B5" w14:paraId="202068E8" w14:textId="77777777">
            <w:pPr>
              <w:rPr>
                <w:color w:val="000000" w:themeColor="text1"/>
              </w:rPr>
            </w:pPr>
            <w:r w:rsidRPr="224AF07C" w:rsidR="000579B5">
              <w:rPr>
                <w:color w:val="000000" w:themeColor="text1" w:themeTint="FF" w:themeShade="FF"/>
              </w:rPr>
              <w:t xml:space="preserve">Developing knowledge of grammar constructions into a focus on figurative language and imagery through fiction texts, </w:t>
            </w:r>
            <w:bookmarkStart w:name="_Int_shUKIp4N" w:id="1231901006"/>
            <w:r w:rsidRPr="224AF07C" w:rsidR="000579B5">
              <w:rPr>
                <w:color w:val="000000" w:themeColor="text1" w:themeTint="FF" w:themeShade="FF"/>
              </w:rPr>
              <w:t>in order to</w:t>
            </w:r>
            <w:bookmarkEnd w:id="1231901006"/>
            <w:r w:rsidRPr="224AF07C" w:rsidR="000579B5">
              <w:rPr>
                <w:color w:val="000000" w:themeColor="text1" w:themeTint="FF" w:themeShade="FF"/>
              </w:rPr>
              <w:t xml:space="preserve"> set the grounding for the study of all key areas at Key stage 3 and 4. </w:t>
            </w:r>
          </w:p>
          <w:p w:rsidRPr="00B811ED" w:rsidR="00886B4A" w:rsidRDefault="00886B4A" w14:paraId="16656081" w14:textId="77777777">
            <w:pPr>
              <w:rPr>
                <w:color w:val="000000" w:themeColor="text1"/>
              </w:rPr>
            </w:pPr>
          </w:p>
          <w:p w:rsidRPr="00B811ED" w:rsidR="00886B4A" w:rsidRDefault="00886B4A" w14:paraId="4A33EEA2" w14:textId="77777777">
            <w:pPr>
              <w:rPr>
                <w:color w:val="000000" w:themeColor="text1"/>
              </w:rPr>
            </w:pPr>
          </w:p>
        </w:tc>
        <w:tc>
          <w:tcPr>
            <w:tcW w:w="3801" w:type="dxa"/>
            <w:gridSpan w:val="3"/>
            <w:shd w:val="clear" w:color="auto" w:fill="D92F2B"/>
            <w:tcMar/>
          </w:tcPr>
          <w:p w:rsidRPr="00B811ED" w:rsidR="00886B4A" w:rsidRDefault="00886B4A" w14:paraId="2621F300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 xml:space="preserve">Poetry </w:t>
            </w:r>
          </w:p>
          <w:p w:rsidRPr="00B811ED" w:rsidR="004C0009" w:rsidRDefault="004C0009" w14:paraId="5A7F3E40" w14:textId="77777777">
            <w:pPr>
              <w:rPr>
                <w:color w:val="000000" w:themeColor="text1"/>
              </w:rPr>
            </w:pPr>
          </w:p>
          <w:p w:rsidRPr="00B811ED" w:rsidR="000579B5" w:rsidRDefault="002E2203" w14:paraId="7F740E54" w14:textId="5BE1EC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Poetry about life</w:t>
            </w:r>
            <w:r w:rsidRPr="00B811ED" w:rsidR="00B47F2F">
              <w:rPr>
                <w:color w:val="000000" w:themeColor="text1"/>
              </w:rPr>
              <w:t>.</w:t>
            </w:r>
          </w:p>
          <w:p w:rsidRPr="00B811ED" w:rsidR="000579B5" w:rsidRDefault="00B47F2F" w14:paraId="2256A9B9" w14:textId="22015B18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 xml:space="preserve">A department anthology of poetry to explore the theme of the </w:t>
            </w:r>
            <w:r w:rsidR="002E2203">
              <w:rPr>
                <w:color w:val="000000" w:themeColor="text1"/>
              </w:rPr>
              <w:t>major stages in life</w:t>
            </w:r>
            <w:r w:rsidRPr="00B811ED">
              <w:rPr>
                <w:color w:val="000000" w:themeColor="text1"/>
              </w:rPr>
              <w:t xml:space="preserve">. </w:t>
            </w:r>
          </w:p>
          <w:p w:rsidRPr="00B811ED" w:rsidR="00B47F2F" w:rsidRDefault="00B47F2F" w14:paraId="71B9E5C3" w14:textId="77777777">
            <w:pPr>
              <w:rPr>
                <w:color w:val="000000" w:themeColor="text1"/>
              </w:rPr>
            </w:pPr>
          </w:p>
          <w:p w:rsidRPr="00B811ED" w:rsidR="000579B5" w:rsidRDefault="000579B5" w14:paraId="61F84359" w14:textId="77777777">
            <w:pPr>
              <w:rPr>
                <w:color w:val="000000" w:themeColor="text1"/>
              </w:rPr>
            </w:pPr>
            <w:r w:rsidRPr="224AF07C" w:rsidR="000579B5">
              <w:rPr>
                <w:color w:val="000000" w:themeColor="text1" w:themeTint="FF" w:themeShade="FF"/>
              </w:rPr>
              <w:t>Moving onto poetry to reinforce the study of language and imagery</w:t>
            </w:r>
            <w:r w:rsidRPr="224AF07C" w:rsidR="000579B5">
              <w:rPr>
                <w:color w:val="000000" w:themeColor="text1" w:themeTint="FF" w:themeShade="FF"/>
              </w:rPr>
              <w:t xml:space="preserve">.  </w:t>
            </w:r>
            <w:r w:rsidRPr="224AF07C" w:rsidR="000579B5">
              <w:rPr>
                <w:color w:val="000000" w:themeColor="text1" w:themeTint="FF" w:themeShade="FF"/>
              </w:rPr>
              <w:t xml:space="preserve">Students will begin to explore structural and rhythmic features </w:t>
            </w:r>
            <w:bookmarkStart w:name="_Int_1YyAx5Ma" w:id="1737867158"/>
            <w:r w:rsidRPr="224AF07C" w:rsidR="000579B5">
              <w:rPr>
                <w:color w:val="000000" w:themeColor="text1" w:themeTint="FF" w:themeShade="FF"/>
              </w:rPr>
              <w:t>in order to</w:t>
            </w:r>
            <w:bookmarkEnd w:id="1737867158"/>
            <w:r w:rsidRPr="224AF07C" w:rsidR="000579B5">
              <w:rPr>
                <w:color w:val="000000" w:themeColor="text1" w:themeTint="FF" w:themeShade="FF"/>
              </w:rPr>
              <w:t xml:space="preserve"> explore the deliberate choices of the writer</w:t>
            </w:r>
            <w:r w:rsidRPr="224AF07C" w:rsidR="000579B5">
              <w:rPr>
                <w:color w:val="000000" w:themeColor="text1" w:themeTint="FF" w:themeShade="FF"/>
              </w:rPr>
              <w:t xml:space="preserve">.  </w:t>
            </w:r>
            <w:r w:rsidRPr="224AF07C" w:rsidR="000579B5">
              <w:rPr>
                <w:color w:val="000000" w:themeColor="text1" w:themeTint="FF" w:themeShade="FF"/>
              </w:rPr>
              <w:t xml:space="preserve">The aim of the entire first term is to introduce the idea of texts as a construct, and that there is a writer who is manipulating language and structure for effect at the heart of these texts. </w:t>
            </w:r>
          </w:p>
        </w:tc>
        <w:tc>
          <w:tcPr>
            <w:tcW w:w="3370" w:type="dxa"/>
            <w:gridSpan w:val="2"/>
            <w:shd w:val="clear" w:color="auto" w:fill="E05552"/>
            <w:tcMar/>
          </w:tcPr>
          <w:p w:rsidR="00F42493" w:rsidP="00F42493" w:rsidRDefault="00F42493" w14:paraId="5D3D896C" w14:textId="72321F80">
            <w:r>
              <w:t>Non-Fiction</w:t>
            </w:r>
          </w:p>
          <w:p w:rsidR="004C0009" w:rsidP="00F42493" w:rsidRDefault="004C0009" w14:paraId="06B0EA48" w14:textId="77777777"/>
          <w:p w:rsidR="00F42493" w:rsidP="00F42493" w:rsidRDefault="00F42493" w14:paraId="1CCDE6F4" w14:textId="5E83F092">
            <w:r>
              <w:t>Fantastic Beasts</w:t>
            </w:r>
          </w:p>
          <w:p w:rsidR="00F42493" w:rsidP="00F42493" w:rsidRDefault="00F42493" w14:paraId="2221D5A4" w14:textId="77777777"/>
          <w:p w:rsidR="00F42493" w:rsidP="00F42493" w:rsidRDefault="00F42493" w14:paraId="070DB47F" w14:textId="77777777"/>
          <w:p w:rsidR="00F42493" w:rsidP="00F42493" w:rsidRDefault="00F42493" w14:paraId="33D21D4A" w14:textId="77777777"/>
          <w:p w:rsidR="00F42493" w:rsidP="00F42493" w:rsidRDefault="00F42493" w14:paraId="1EBA7FB8" w14:textId="77777777"/>
          <w:p w:rsidR="000579B5" w:rsidP="00F42493" w:rsidRDefault="00F42493" w14:paraId="48B8CC27" w14:textId="045BD3AF">
            <w:r>
              <w:t>Once students have studied how other writers create characters, drama and tension, we move onto the study and production of non-fiction texts.  Using the Universe of “Fantastic Beasts,” students create non-fiction texts which enable them to explore the key rhetorical devices in a variety of forms.  Students will learn to inform, persuade, advise, argue and describe through the formats of letters, speeches, newspapers, leaflets and essays.</w:t>
            </w:r>
          </w:p>
        </w:tc>
        <w:tc>
          <w:tcPr>
            <w:tcW w:w="3423" w:type="dxa"/>
            <w:gridSpan w:val="3"/>
            <w:shd w:val="clear" w:color="auto" w:fill="E36663"/>
            <w:tcMar/>
          </w:tcPr>
          <w:p w:rsidR="00F42493" w:rsidP="00F42493" w:rsidRDefault="00F42493" w14:paraId="51D497DF" w14:textId="07EF6450">
            <w:r>
              <w:t>Modern Drama</w:t>
            </w:r>
          </w:p>
          <w:p w:rsidR="00F42493" w:rsidP="00F42493" w:rsidRDefault="00F42493" w14:paraId="63D321CC" w14:textId="77777777"/>
          <w:p w:rsidR="00F42493" w:rsidP="00F42493" w:rsidRDefault="00F42493" w14:paraId="4DE94232" w14:textId="7E5E8C0D">
            <w:r w:rsidRPr="00C26B60">
              <w:t>Dracula</w:t>
            </w:r>
            <w:r w:rsidR="004C0009">
              <w:t xml:space="preserve">, </w:t>
            </w:r>
            <w:r w:rsidRPr="00C26B60">
              <w:t>Johnny and the Dead</w:t>
            </w:r>
          </w:p>
          <w:p w:rsidR="00F42493" w:rsidP="00F42493" w:rsidRDefault="00F42493" w14:paraId="1617E545" w14:textId="6A5DD932">
            <w:r w:rsidRPr="00C26B60">
              <w:t>Our Day Out</w:t>
            </w:r>
            <w:r w:rsidR="004C0009">
              <w:t xml:space="preserve">, </w:t>
            </w:r>
            <w:r w:rsidRPr="00C26B60">
              <w:t>Demon Headmaster</w:t>
            </w:r>
          </w:p>
          <w:p w:rsidR="00F42493" w:rsidP="00F42493" w:rsidRDefault="00F42493" w14:paraId="2DC35565" w14:textId="77777777">
            <w:r w:rsidRPr="00B47F2F">
              <w:t>The Amazing Maurice and his Educated Rodents</w:t>
            </w:r>
          </w:p>
          <w:p w:rsidR="00F42493" w:rsidP="00F42493" w:rsidRDefault="00F42493" w14:paraId="39AFC88D" w14:textId="77777777"/>
          <w:p w:rsidR="00BE1E93" w:rsidP="00F42493" w:rsidRDefault="00F42493" w14:paraId="2ADFED75" w14:textId="4AEB1345">
            <w:r w:rsidR="00F42493">
              <w:rPr/>
              <w:t xml:space="preserve">Once the groundwork is in place with familiar literary forms, we introduce drama and scriptwriting </w:t>
            </w:r>
            <w:bookmarkStart w:name="_Int_7wSDBz1w" w:id="493105446"/>
            <w:r w:rsidR="00F42493">
              <w:rPr/>
              <w:t>in order to</w:t>
            </w:r>
            <w:bookmarkEnd w:id="493105446"/>
            <w:r w:rsidR="00F42493">
              <w:rPr/>
              <w:t xml:space="preserve"> expand students’ knowledge of writing forms and audiences</w:t>
            </w:r>
            <w:r w:rsidR="00F42493">
              <w:rPr/>
              <w:t xml:space="preserve">.  </w:t>
            </w:r>
            <w:r w:rsidR="00F42493">
              <w:rPr/>
              <w:t>Students will begin to link their knowledge of language and structure to the dramatic devices employed by dramatists to engage their audiences</w:t>
            </w:r>
            <w:r w:rsidR="00F42493">
              <w:rPr/>
              <w:t xml:space="preserve">.  </w:t>
            </w:r>
            <w:r w:rsidR="00F42493">
              <w:rPr/>
              <w:t xml:space="preserve">We will explore tension </w:t>
            </w:r>
            <w:bookmarkStart w:name="_Int_GL76uhlu" w:id="723127665"/>
            <w:r w:rsidR="00F42493">
              <w:rPr/>
              <w:t>in particular and</w:t>
            </w:r>
            <w:bookmarkEnd w:id="723127665"/>
            <w:r w:rsidR="00F42493">
              <w:rPr/>
              <w:t xml:space="preserve"> how it is created.</w:t>
            </w:r>
          </w:p>
        </w:tc>
        <w:tc>
          <w:tcPr>
            <w:tcW w:w="3357" w:type="dxa"/>
            <w:gridSpan w:val="2"/>
            <w:shd w:val="clear" w:color="auto" w:fill="ED9997"/>
            <w:tcMar/>
          </w:tcPr>
          <w:p w:rsidR="00F42493" w:rsidP="00F42493" w:rsidRDefault="00614F13" w14:paraId="7152C938" w14:textId="77777777">
            <w:r>
              <w:t xml:space="preserve"> </w:t>
            </w:r>
            <w:r w:rsidR="00F42493">
              <w:t>Fiction Writing</w:t>
            </w:r>
          </w:p>
          <w:p w:rsidR="004C0009" w:rsidP="00F42493" w:rsidRDefault="004C0009" w14:paraId="2DB26B04" w14:textId="77777777"/>
          <w:p w:rsidR="00F42493" w:rsidP="00F42493" w:rsidRDefault="00F42493" w14:paraId="0FFE631B" w14:textId="2D624309">
            <w:r>
              <w:t>The Body on the Moor Crime Unit</w:t>
            </w:r>
          </w:p>
          <w:p w:rsidR="00F42493" w:rsidP="00F42493" w:rsidRDefault="00F42493" w14:paraId="2D2CBCBB" w14:textId="77777777"/>
          <w:p w:rsidR="00F42493" w:rsidP="00F42493" w:rsidRDefault="00F42493" w14:paraId="28511512" w14:textId="77777777"/>
          <w:p w:rsidR="00F42493" w:rsidP="00F42493" w:rsidRDefault="00F42493" w14:paraId="49A223C9" w14:textId="77777777"/>
          <w:p w:rsidR="00F42493" w:rsidP="00F42493" w:rsidRDefault="00F42493" w14:paraId="6C43C476" w14:textId="77777777"/>
          <w:p w:rsidR="00BE1E93" w:rsidP="00F42493" w:rsidRDefault="00F42493" w14:paraId="4A12E88E" w14:textId="681FED0A">
            <w:r w:rsidR="00F42493">
              <w:rPr/>
              <w:t>By Summer 2, students have a wide variety of skills, and this unit presents them with an opportunity to craft and develop their knowledge of language into their own writing</w:t>
            </w:r>
            <w:r w:rsidR="00F42493">
              <w:rPr/>
              <w:t xml:space="preserve">.  </w:t>
            </w:r>
            <w:r w:rsidR="00F42493">
              <w:rPr/>
              <w:t xml:space="preserve">Students will be faced with a </w:t>
            </w:r>
            <w:bookmarkStart w:name="_Int_JRaBuyt6" w:id="452305764"/>
            <w:r w:rsidR="00F42493">
              <w:rPr/>
              <w:t>conundrum, and</w:t>
            </w:r>
            <w:bookmarkEnd w:id="452305764"/>
            <w:r w:rsidR="00F42493">
              <w:rPr/>
              <w:t xml:space="preserve"> will have to present this conundrum as a tense story which uses </w:t>
            </w:r>
            <w:bookmarkStart w:name="_Int_0Tcdybtl" w:id="1279779512"/>
            <w:r w:rsidR="00F42493">
              <w:rPr/>
              <w:t>all of</w:t>
            </w:r>
            <w:bookmarkEnd w:id="1279779512"/>
            <w:r w:rsidR="00F42493">
              <w:rPr/>
              <w:t xml:space="preserve"> the key features of narrative structure</w:t>
            </w:r>
            <w:r w:rsidR="00F42493">
              <w:rPr/>
              <w:t xml:space="preserve">.  </w:t>
            </w:r>
            <w:r w:rsidR="00F42493">
              <w:rPr/>
              <w:t>Students are encouraged to be ambitious in both their stories and their vocabulary.</w:t>
            </w:r>
          </w:p>
        </w:tc>
        <w:tc>
          <w:tcPr>
            <w:tcW w:w="3309" w:type="dxa"/>
            <w:gridSpan w:val="2"/>
            <w:shd w:val="clear" w:color="auto" w:fill="F4C3C2"/>
            <w:tcMar/>
          </w:tcPr>
          <w:p w:rsidR="00F42493" w:rsidP="00F42493" w:rsidRDefault="00F42493" w14:paraId="2BD586C7" w14:textId="05E8073D">
            <w:r>
              <w:t>Shakespeare</w:t>
            </w:r>
          </w:p>
          <w:p w:rsidR="00F42493" w:rsidP="00F42493" w:rsidRDefault="00F42493" w14:paraId="39A05A95" w14:textId="77777777"/>
          <w:p w:rsidR="00F42493" w:rsidP="00F42493" w:rsidRDefault="00F42493" w14:paraId="57BFDB3F" w14:textId="77777777">
            <w:r w:rsidRPr="00C26B60">
              <w:t>MSND</w:t>
            </w:r>
          </w:p>
          <w:p w:rsidR="00F42493" w:rsidP="00F42493" w:rsidRDefault="00F42493" w14:paraId="764AE6E9" w14:textId="77777777">
            <w:r w:rsidRPr="00C26B60">
              <w:t>Sonnets</w:t>
            </w:r>
          </w:p>
          <w:p w:rsidR="00F42493" w:rsidP="00F42493" w:rsidRDefault="00F42493" w14:paraId="32896F7B" w14:textId="77777777"/>
          <w:p w:rsidR="00F42493" w:rsidP="00F42493" w:rsidRDefault="00F42493" w14:paraId="5D869ED1" w14:textId="77777777"/>
          <w:p w:rsidR="00F42493" w:rsidP="00F42493" w:rsidRDefault="00F42493" w14:paraId="1087AFAA" w14:textId="77777777"/>
          <w:p w:rsidR="00614F13" w:rsidP="00F42493" w:rsidRDefault="00F42493" w14:paraId="3570FCC3" w14:textId="79D7D7F1">
            <w:r>
              <w:t xml:space="preserve">By the summer term, students have a solid knowledge of both fiction and non-fiction and are able to apply this to more complex texts.  Students will explore a Shakespeare text, looking at a whole text and merging their awareness of the use of language and imagery, with the dramatic devices used to build tension.  </w:t>
            </w:r>
          </w:p>
        </w:tc>
      </w:tr>
      <w:tr w:rsidR="004C0009" w:rsidTr="1C0BBC7A" w14:paraId="046285C0" w14:textId="77777777">
        <w:tc>
          <w:tcPr>
            <w:tcW w:w="3661" w:type="dxa"/>
            <w:gridSpan w:val="2"/>
            <w:shd w:val="clear" w:color="auto" w:fill="960000"/>
            <w:tcMar/>
          </w:tcPr>
          <w:p w:rsidRPr="00B811ED" w:rsidR="004C0009" w:rsidRDefault="00CE1182" w14:paraId="66806844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Personal Development:</w:t>
            </w:r>
          </w:p>
          <w:p w:rsidRPr="00B811ED" w:rsidR="00CE1182" w:rsidP="00CE1182" w:rsidRDefault="00CE1182" w14:paraId="0C6185F8" w14:textId="6D45C61F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</w:pPr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.  Texts dealing with sense of identity, belonging, dealing with death and </w:t>
            </w:r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loss</w:t>
            </w:r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and coming of age. Relationships and parent and child relationships covered in the year 7 novels such as A Monster Calls, Holes etc. Millions </w:t>
            </w:r>
            <w:r w:rsidRPr="224AF07C" w:rsidR="174B39EC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deal</w:t>
            </w:r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with trust in </w:t>
            </w:r>
            <w:r w:rsidRPr="224AF07C" w:rsidR="3DD4836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relationships and</w:t>
            </w:r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bookmarkStart w:name="_Int_0GyCSz9E" w:id="1987293961"/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>covers</w:t>
            </w:r>
            <w:bookmarkEnd w:id="1987293961"/>
            <w:r w:rsidRPr="224AF07C" w:rsidR="00CE1182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trustworthy and untrustworthy people and situations.   </w:t>
            </w:r>
          </w:p>
          <w:p w:rsidRPr="00B811ED" w:rsidR="00CE1182" w:rsidRDefault="00CE1182" w14:paraId="1C7DE3F0" w14:textId="2A148D95">
            <w:pPr>
              <w:rPr>
                <w:color w:val="000000" w:themeColor="text1"/>
              </w:rPr>
            </w:pPr>
          </w:p>
        </w:tc>
        <w:tc>
          <w:tcPr>
            <w:tcW w:w="3801" w:type="dxa"/>
            <w:gridSpan w:val="3"/>
            <w:shd w:val="clear" w:color="auto" w:fill="D92F2B"/>
            <w:tcMar/>
          </w:tcPr>
          <w:p w:rsidRPr="00B811ED" w:rsidR="00CE1182" w:rsidP="00CE1182" w:rsidRDefault="00CE1182" w14:paraId="25470EC1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Personal Development:</w:t>
            </w:r>
          </w:p>
          <w:p w:rsidRPr="00B811ED" w:rsidR="00CE1182" w:rsidP="00CE1182" w:rsidRDefault="00CE1182" w14:paraId="35F55CC0" w14:textId="77777777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</w:pPr>
            <w:r w:rsidRPr="00B811ED">
              <w:rPr>
                <w:rFonts w:ascii="Arial" w:hAnsi="Arial" w:eastAsia="Times New Roman" w:cs="Arial"/>
                <w:color w:val="000000" w:themeColor="text1"/>
                <w:sz w:val="20"/>
                <w:szCs w:val="20"/>
              </w:rPr>
              <w:t>Time outdoors and mental wellbeing is dealt with in the year 7 Natural World anthology.</w:t>
            </w:r>
          </w:p>
          <w:p w:rsidRPr="00B811ED" w:rsidR="004C0009" w:rsidRDefault="004C0009" w14:paraId="249E26FC" w14:textId="77777777">
            <w:pPr>
              <w:rPr>
                <w:color w:val="000000" w:themeColor="text1"/>
              </w:rPr>
            </w:pPr>
          </w:p>
        </w:tc>
        <w:tc>
          <w:tcPr>
            <w:tcW w:w="3370" w:type="dxa"/>
            <w:gridSpan w:val="2"/>
            <w:shd w:val="clear" w:color="auto" w:fill="E05552"/>
            <w:tcMar/>
          </w:tcPr>
          <w:p w:rsidR="00CE1182" w:rsidP="00CE1182" w:rsidRDefault="00CE1182" w14:paraId="320DD5F6" w14:textId="77777777">
            <w:r>
              <w:t>Personal Development:</w:t>
            </w:r>
          </w:p>
          <w:p w:rsidR="004C0009" w:rsidRDefault="00CE1182" w14:paraId="624A5F3F" w14:textId="0A46150E">
            <w:r w:rsidRPr="00F17AF8">
              <w:rPr>
                <w:rFonts w:ascii="Arial" w:hAnsi="Arial" w:eastAsia="Times New Roman" w:cs="Arial"/>
                <w:sz w:val="20"/>
                <w:szCs w:val="20"/>
              </w:rPr>
              <w:t>Exploring being part of a persecuted community and how to protect and to defend heritage.</w:t>
            </w:r>
          </w:p>
        </w:tc>
        <w:tc>
          <w:tcPr>
            <w:tcW w:w="3423" w:type="dxa"/>
            <w:gridSpan w:val="3"/>
            <w:shd w:val="clear" w:color="auto" w:fill="E36663"/>
            <w:tcMar/>
          </w:tcPr>
          <w:p w:rsidR="00CE1182" w:rsidP="00CE1182" w:rsidRDefault="00CE1182" w14:paraId="57D5FBA8" w14:textId="77777777">
            <w:r>
              <w:t>Personal Development:</w:t>
            </w:r>
          </w:p>
          <w:p w:rsidR="004C0009" w:rsidRDefault="00CE1182" w14:paraId="5A34DB96" w14:textId="4E3375D7">
            <w:r>
              <w:rPr>
                <w:rFonts w:ascii="Arial" w:hAnsi="Arial" w:eastAsia="Times New Roman" w:cs="Arial"/>
                <w:sz w:val="20"/>
                <w:szCs w:val="20"/>
              </w:rPr>
              <w:t xml:space="preserve">These explore cultural changes in relation to the contexts of the texts and how beliefs have changed and developed. </w:t>
            </w:r>
            <w:r w:rsidRPr="00F17AF8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These range from the gothic genre, school bullies, and disability depending on the text studied. </w:t>
            </w:r>
          </w:p>
        </w:tc>
        <w:tc>
          <w:tcPr>
            <w:tcW w:w="3357" w:type="dxa"/>
            <w:gridSpan w:val="2"/>
            <w:shd w:val="clear" w:color="auto" w:fill="ED9997"/>
            <w:tcMar/>
          </w:tcPr>
          <w:p w:rsidR="00CE1182" w:rsidP="00CE1182" w:rsidRDefault="00CE1182" w14:paraId="47244C33" w14:textId="77777777">
            <w:r>
              <w:t>Personal Development:</w:t>
            </w:r>
          </w:p>
          <w:p w:rsidR="004C0009" w:rsidRDefault="00CE1182" w14:paraId="38D8F251" w14:textId="3EB0CBA4">
            <w:r>
              <w:t xml:space="preserve">This unit explores the concept of crime and consequences, as well as looking at how people can become lonely and cast-out by society and the effect of this on them. </w:t>
            </w:r>
          </w:p>
        </w:tc>
        <w:tc>
          <w:tcPr>
            <w:tcW w:w="3309" w:type="dxa"/>
            <w:gridSpan w:val="2"/>
            <w:shd w:val="clear" w:color="auto" w:fill="F4C3C2"/>
            <w:tcMar/>
          </w:tcPr>
          <w:p w:rsidR="00CE1182" w:rsidP="00CE1182" w:rsidRDefault="00CE1182" w14:paraId="568C1725" w14:textId="77777777">
            <w:r>
              <w:t>Personal Development:</w:t>
            </w:r>
          </w:p>
          <w:p w:rsidR="004C0009" w:rsidRDefault="00CE1182" w14:paraId="75D4EBAF" w14:textId="6DA25C23">
            <w:r>
              <w:rPr>
                <w:rFonts w:ascii="Arial" w:hAnsi="Arial" w:eastAsia="Times New Roman" w:cs="Arial"/>
                <w:sz w:val="20"/>
                <w:szCs w:val="20"/>
              </w:rPr>
              <w:t xml:space="preserve">Looking at a variety of texts which explore relationships. </w:t>
            </w:r>
            <w:r w:rsidRPr="00F17AF8">
              <w:rPr>
                <w:rFonts w:ascii="Arial" w:hAnsi="Arial" w:eastAsia="Times New Roman" w:cs="Arial"/>
                <w:sz w:val="20"/>
                <w:szCs w:val="20"/>
              </w:rPr>
              <w:t xml:space="preserve"> Exploring own relationships and moral decisions based on own context.</w:t>
            </w:r>
          </w:p>
        </w:tc>
      </w:tr>
      <w:tr w:rsidR="003E7AC6" w:rsidTr="1C0BBC7A" w14:paraId="2344CEBB" w14:textId="77777777">
        <w:tc>
          <w:tcPr>
            <w:tcW w:w="5389" w:type="dxa"/>
            <w:gridSpan w:val="3"/>
            <w:shd w:val="clear" w:color="auto" w:fill="960000"/>
            <w:tcMar/>
          </w:tcPr>
          <w:p w:rsidRPr="00B811ED" w:rsidR="003E7AC6" w:rsidRDefault="003E7AC6" w14:paraId="4956ED5A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Assessment window 1</w:t>
            </w:r>
          </w:p>
          <w:p w:rsidRPr="00B811ED" w:rsidR="003E7AC6" w:rsidRDefault="003E7AC6" w14:paraId="26DC827E" w14:textId="77777777">
            <w:pPr>
              <w:rPr>
                <w:color w:val="000000" w:themeColor="text1"/>
              </w:rPr>
            </w:pPr>
          </w:p>
          <w:p w:rsidRPr="00B811ED" w:rsidR="003E7AC6" w:rsidRDefault="00B47F2F" w14:paraId="7486EBB8" w14:textId="50632391">
            <w:pPr>
              <w:rPr>
                <w:color w:val="000000" w:themeColor="text1"/>
              </w:rPr>
            </w:pPr>
            <w:r w:rsidRPr="224AF07C" w:rsidR="00B47F2F">
              <w:rPr>
                <w:color w:val="000000" w:themeColor="text1" w:themeTint="FF" w:themeShade="FF"/>
              </w:rPr>
              <w:t>Reading assessment for novel</w:t>
            </w:r>
            <w:r w:rsidRPr="224AF07C" w:rsidR="00830414">
              <w:rPr>
                <w:color w:val="000000" w:themeColor="text1" w:themeTint="FF" w:themeShade="FF"/>
              </w:rPr>
              <w:t>- Extract based</w:t>
            </w:r>
            <w:r w:rsidRPr="224AF07C" w:rsidR="182C66EC">
              <w:rPr>
                <w:color w:val="000000" w:themeColor="text1" w:themeTint="FF" w:themeShade="FF"/>
              </w:rPr>
              <w:t xml:space="preserve"> (Lit 1 style)</w:t>
            </w:r>
          </w:p>
          <w:p w:rsidRPr="00B811ED" w:rsidR="003E7AC6" w:rsidRDefault="002E2203" w14:paraId="770DEAC6" w14:textId="69E98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Reading</w:t>
            </w:r>
            <w:r w:rsidRPr="00B811ED" w:rsidR="00B47F2F">
              <w:rPr>
                <w:color w:val="000000" w:themeColor="text1"/>
              </w:rPr>
              <w:t xml:space="preserve"> assessment for poetry</w:t>
            </w:r>
            <w:r>
              <w:rPr>
                <w:color w:val="000000" w:themeColor="text1"/>
              </w:rPr>
              <w:t xml:space="preserve"> (single poem)</w:t>
            </w:r>
          </w:p>
          <w:p w:rsidRPr="00B811ED" w:rsidR="003E7AC6" w:rsidRDefault="003E7AC6" w14:paraId="6BF4B4B9" w14:textId="77777777">
            <w:pPr>
              <w:rPr>
                <w:color w:val="000000" w:themeColor="text1"/>
              </w:rPr>
            </w:pPr>
          </w:p>
        </w:tc>
        <w:tc>
          <w:tcPr>
            <w:tcW w:w="2073" w:type="dxa"/>
            <w:gridSpan w:val="2"/>
            <w:shd w:val="clear" w:color="auto" w:fill="D92F2B"/>
            <w:tcMar/>
          </w:tcPr>
          <w:p w:rsidRPr="00B811ED" w:rsidR="00A32D19" w:rsidRDefault="00A32D19" w14:paraId="4A4E3446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Assessment deadline</w:t>
            </w:r>
          </w:p>
          <w:p w:rsidRPr="00B811ED" w:rsidR="00A32D19" w:rsidRDefault="00A32D19" w14:paraId="516ADB59" w14:textId="77777777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½ term 1</w:t>
            </w:r>
          </w:p>
          <w:p w:rsidRPr="00B811ED" w:rsidR="00A32D19" w:rsidRDefault="00A32D19" w14:paraId="25C614B8" w14:textId="06F7CBD4">
            <w:pPr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End of autumn 1</w:t>
            </w:r>
          </w:p>
        </w:tc>
        <w:tc>
          <w:tcPr>
            <w:tcW w:w="4969" w:type="dxa"/>
            <w:gridSpan w:val="4"/>
            <w:shd w:val="clear" w:color="auto" w:fill="E05552"/>
            <w:tcMar/>
          </w:tcPr>
          <w:p w:rsidR="003E7AC6" w:rsidRDefault="003E7AC6" w14:paraId="3B15A5E5" w14:textId="77777777">
            <w:r>
              <w:t>Assessment window 2</w:t>
            </w:r>
          </w:p>
          <w:p w:rsidR="003E7AC6" w:rsidRDefault="003E7AC6" w14:paraId="488A0DDE" w14:textId="77777777"/>
          <w:p w:rsidR="003E7AC6" w:rsidRDefault="003E7AC6" w14:paraId="7342E905" w14:textId="77777777">
            <w:r>
              <w:t>Writing assessment – Non Fiction</w:t>
            </w:r>
          </w:p>
          <w:p w:rsidR="003E7AC6" w:rsidP="00B47F2F" w:rsidRDefault="003E7AC6" w14:paraId="68F249D1" w14:textId="26FBCC5B">
            <w:r>
              <w:t>Modern Drama</w:t>
            </w:r>
            <w:r w:rsidR="00B47F2F">
              <w:t xml:space="preserve"> – </w:t>
            </w:r>
            <w:r w:rsidR="00830414">
              <w:t xml:space="preserve">Reading assessment. </w:t>
            </w:r>
          </w:p>
        </w:tc>
        <w:tc>
          <w:tcPr>
            <w:tcW w:w="1824" w:type="dxa"/>
            <w:shd w:val="clear" w:color="auto" w:fill="E36663"/>
            <w:tcMar/>
          </w:tcPr>
          <w:p w:rsidR="003E7AC6" w:rsidRDefault="003E7AC6" w14:paraId="74D4D3CD" w14:textId="77777777">
            <w:r>
              <w:t>Data Deadline</w:t>
            </w:r>
          </w:p>
          <w:p w:rsidR="00A32D19" w:rsidRDefault="00A32D19" w14:paraId="3E6A4AE8" w14:textId="77777777"/>
          <w:p w:rsidR="00A32D19" w:rsidRDefault="00A32D19" w14:paraId="12F283AF" w14:textId="77777777">
            <w:r>
              <w:t>½ term 2</w:t>
            </w:r>
          </w:p>
          <w:p w:rsidR="00A32D19" w:rsidRDefault="00A32D19" w14:paraId="3206D16F" w14:textId="1A09E645">
            <w:r>
              <w:t>End of Spring 2</w:t>
            </w:r>
          </w:p>
        </w:tc>
        <w:tc>
          <w:tcPr>
            <w:tcW w:w="4901" w:type="dxa"/>
            <w:gridSpan w:val="3"/>
            <w:shd w:val="clear" w:color="auto" w:fill="ED9997"/>
            <w:tcMar/>
          </w:tcPr>
          <w:p w:rsidR="003E7AC6" w:rsidRDefault="003E7AC6" w14:paraId="4A9D687D" w14:textId="77777777">
            <w:r>
              <w:t>Assessment window 3</w:t>
            </w:r>
          </w:p>
          <w:p w:rsidR="003E7AC6" w:rsidRDefault="003E7AC6" w14:paraId="13BE6319" w14:textId="77777777"/>
          <w:p w:rsidR="00A32D19" w:rsidRDefault="00A32D19" w14:paraId="390129C4" w14:textId="77777777">
            <w:r>
              <w:t xml:space="preserve">Fiction writing assessment </w:t>
            </w:r>
          </w:p>
          <w:p w:rsidR="003E7AC6" w:rsidRDefault="003E7AC6" w14:paraId="09EC67D7" w14:textId="540EFD02">
            <w:r>
              <w:t>Shak</w:t>
            </w:r>
            <w:r w:rsidR="00B47F2F">
              <w:t xml:space="preserve">espeare </w:t>
            </w:r>
            <w:r w:rsidR="00830414">
              <w:t>Reading</w:t>
            </w:r>
            <w:r w:rsidR="00B47F2F">
              <w:t xml:space="preserve"> assessment</w:t>
            </w:r>
          </w:p>
          <w:p w:rsidR="003E7AC6" w:rsidRDefault="003E7AC6" w14:paraId="4D584798" w14:textId="122822FA"/>
        </w:tc>
        <w:tc>
          <w:tcPr>
            <w:tcW w:w="1765" w:type="dxa"/>
            <w:shd w:val="clear" w:color="auto" w:fill="F4C3C2"/>
            <w:tcMar/>
          </w:tcPr>
          <w:p w:rsidR="003E7AC6" w:rsidRDefault="003E7AC6" w14:paraId="37CF46D5" w14:textId="77777777">
            <w:r>
              <w:t>Data Deadline</w:t>
            </w:r>
          </w:p>
          <w:p w:rsidR="00A32D19" w:rsidRDefault="00A32D19" w14:paraId="3313D0BB" w14:textId="77777777"/>
          <w:p w:rsidR="00A32D19" w:rsidRDefault="00A32D19" w14:paraId="1307CCDB" w14:textId="77777777">
            <w:r>
              <w:t>½ term 3</w:t>
            </w:r>
          </w:p>
          <w:p w:rsidR="00A32D19" w:rsidRDefault="00A32D19" w14:paraId="4EBF7DAA" w14:textId="1BFA43CB">
            <w:r>
              <w:t>End of Summer 2</w:t>
            </w:r>
          </w:p>
        </w:tc>
      </w:tr>
      <w:tr w:rsidR="00B96188" w:rsidTr="1C0BBC7A" w14:paraId="78282A14" w14:textId="77777777">
        <w:tc>
          <w:tcPr>
            <w:tcW w:w="7462" w:type="dxa"/>
            <w:gridSpan w:val="5"/>
            <w:shd w:val="clear" w:color="auto" w:fill="960000"/>
            <w:tcMar/>
          </w:tcPr>
          <w:p w:rsidRPr="00B811ED" w:rsidR="00B96188" w:rsidP="00B96188" w:rsidRDefault="00B96188" w14:paraId="37C0AF8B" w14:textId="77777777">
            <w:pPr>
              <w:jc w:val="center"/>
              <w:rPr>
                <w:color w:val="000000" w:themeColor="text1"/>
              </w:rPr>
            </w:pPr>
            <w:r w:rsidRPr="00B811ED">
              <w:rPr>
                <w:color w:val="000000" w:themeColor="text1"/>
              </w:rPr>
              <w:t>Homework</w:t>
            </w:r>
          </w:p>
        </w:tc>
        <w:tc>
          <w:tcPr>
            <w:tcW w:w="6793" w:type="dxa"/>
            <w:gridSpan w:val="5"/>
            <w:shd w:val="clear" w:color="auto" w:fill="E05552"/>
            <w:tcMar/>
          </w:tcPr>
          <w:p w:rsidR="00B96188" w:rsidP="00B96188" w:rsidRDefault="00B96188" w14:paraId="761B43A8" w14:textId="77777777">
            <w:pPr>
              <w:jc w:val="center"/>
            </w:pPr>
            <w:r>
              <w:t>Homework</w:t>
            </w:r>
          </w:p>
        </w:tc>
        <w:tc>
          <w:tcPr>
            <w:tcW w:w="6666" w:type="dxa"/>
            <w:gridSpan w:val="4"/>
            <w:shd w:val="clear" w:color="auto" w:fill="ED9997"/>
            <w:tcMar/>
          </w:tcPr>
          <w:p w:rsidR="00B96188" w:rsidP="00B96188" w:rsidRDefault="00B96188" w14:paraId="0EFF6DE9" w14:textId="77777777">
            <w:pPr>
              <w:jc w:val="center"/>
            </w:pPr>
            <w:r>
              <w:t>Homework</w:t>
            </w:r>
          </w:p>
        </w:tc>
      </w:tr>
      <w:tr w:rsidR="00B96188" w:rsidTr="1C0BBC7A" w14:paraId="77ABAC17" w14:textId="77777777">
        <w:tc>
          <w:tcPr>
            <w:tcW w:w="7462" w:type="dxa"/>
            <w:gridSpan w:val="5"/>
            <w:shd w:val="clear" w:color="auto" w:fill="960000"/>
            <w:tcMar/>
          </w:tcPr>
          <w:p w:rsidRPr="00B811ED" w:rsidR="00B96188" w:rsidP="00B96188" w:rsidRDefault="00B96188" w14:paraId="37E34870" w14:textId="77777777">
            <w:pPr>
              <w:rPr>
                <w:color w:val="000000" w:themeColor="text1"/>
              </w:rPr>
            </w:pPr>
          </w:p>
          <w:p w:rsidR="55496465" w:rsidP="1C0BBC7A" w:rsidRDefault="55496465" w14:paraId="67532129" w14:textId="10195588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1C0BBC7A" w:rsidR="55496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Bedrock Learning – 20 points each week. </w:t>
            </w:r>
            <w:r w:rsidRPr="1C0BBC7A" w:rsidR="5549646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C0BBC7A" w:rsidP="1C0BBC7A" w:rsidRDefault="1C0BBC7A" w14:paraId="6C352C8E" w14:textId="0B6F45DB">
            <w:pPr>
              <w:rPr>
                <w:color w:val="000000" w:themeColor="text1" w:themeTint="FF" w:themeShade="FF"/>
              </w:rPr>
            </w:pPr>
          </w:p>
          <w:p w:rsidRPr="00B811ED" w:rsidR="00B96188" w:rsidP="00B96188" w:rsidRDefault="00B96188" w14:paraId="3EB503ED" w14:textId="77777777">
            <w:pPr>
              <w:rPr>
                <w:color w:val="000000" w:themeColor="text1"/>
              </w:rPr>
            </w:pPr>
          </w:p>
        </w:tc>
        <w:tc>
          <w:tcPr>
            <w:tcW w:w="6793" w:type="dxa"/>
            <w:gridSpan w:val="5"/>
            <w:shd w:val="clear" w:color="auto" w:fill="E05552"/>
            <w:tcMar/>
          </w:tcPr>
          <w:p w:rsidR="00B96188" w:rsidP="1C0BBC7A" w:rsidRDefault="00B96188" w14:paraId="49BCBDA1" w14:textId="09A4DA8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B96188" w:rsidP="1C0BBC7A" w:rsidRDefault="00B96188" w14:paraId="416465CD" w14:textId="58D05F83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1C0BBC7A" w:rsidR="55496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Bedrock Learning – 20 points each week</w:t>
            </w:r>
            <w:r w:rsidRPr="1C0BBC7A" w:rsidR="55496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1C0BBC7A" w:rsidR="5549646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2F5FD1" w:rsidR="00C518A5" w:rsidP="00C518A5" w:rsidRDefault="00C518A5" w14:paraId="68E45618" w14:textId="7BBA61F3">
            <w:pPr>
              <w:rPr>
                <w:color w:val="000000" w:themeColor="text1"/>
              </w:rPr>
            </w:pPr>
          </w:p>
          <w:p w:rsidR="00B96188" w:rsidP="00B96188" w:rsidRDefault="00B96188" w14:paraId="4389FF66" w14:textId="77777777"/>
        </w:tc>
        <w:tc>
          <w:tcPr>
            <w:tcW w:w="6666" w:type="dxa"/>
            <w:gridSpan w:val="4"/>
            <w:shd w:val="clear" w:color="auto" w:fill="ED9997"/>
            <w:tcMar/>
          </w:tcPr>
          <w:p w:rsidR="00C518A5" w:rsidP="00C518A5" w:rsidRDefault="00C518A5" w14:paraId="7C123C5D" w14:textId="77777777">
            <w:pPr>
              <w:rPr>
                <w:color w:val="000000" w:themeColor="text1"/>
              </w:rPr>
            </w:pPr>
          </w:p>
          <w:p w:rsidR="55496465" w:rsidP="1C0BBC7A" w:rsidRDefault="55496465" w14:paraId="2662F206" w14:textId="52250C02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1C0BBC7A" w:rsidR="554964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Bedrock Learning – 20 points each week. </w:t>
            </w:r>
            <w:r w:rsidRPr="1C0BBC7A" w:rsidR="5549646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1C0BBC7A" w:rsidP="1C0BBC7A" w:rsidRDefault="1C0BBC7A" w14:paraId="627694FD" w14:textId="4945E664">
            <w:pPr>
              <w:rPr>
                <w:color w:val="000000" w:themeColor="text1" w:themeTint="FF" w:themeShade="FF"/>
              </w:rPr>
            </w:pPr>
          </w:p>
          <w:p w:rsidR="00B96188" w:rsidP="00B96188" w:rsidRDefault="00B96188" w14:paraId="497A6619" w14:textId="1AC7B8A7"/>
        </w:tc>
      </w:tr>
    </w:tbl>
    <w:p w:rsidR="00B96188" w:rsidP="00886B4A" w:rsidRDefault="00B96188" w14:paraId="0FF5D47C" w14:textId="77777777"/>
    <w:sectPr w:rsidR="00B96188" w:rsidSect="00B811ED">
      <w:pgSz w:w="23811" w:h="16838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GyCSz9E" int2:invalidationBookmarkName="" int2:hashCode="VF8Lc6qiZTirsi" int2:id="Sd4RmEFW">
      <int2:state int2:type="gram" int2:value="Rejected"/>
    </int2:bookmark>
    <int2:bookmark int2:bookmarkName="_Int_0Tcdybtl" int2:invalidationBookmarkName="" int2:hashCode="FhxCN58vOqq4SL" int2:id="6MDymoL8">
      <int2:state int2:type="style" int2:value="Rejected"/>
    </int2:bookmark>
    <int2:bookmark int2:bookmarkName="_Int_JRaBuyt6" int2:invalidationBookmarkName="" int2:hashCode="HU6B7bpMXr0usN" int2:id="5KqKqRIX">
      <int2:state int2:type="gram" int2:value="Rejected"/>
    </int2:bookmark>
    <int2:bookmark int2:bookmarkName="_Int_GL76uhlu" int2:invalidationBookmarkName="" int2:hashCode="9oIcQhJmygPZM6" int2:id="jP8NUQll">
      <int2:state int2:type="style" int2:value="Rejected"/>
    </int2:bookmark>
    <int2:bookmark int2:bookmarkName="_Int_7wSDBz1w" int2:invalidationBookmarkName="" int2:hashCode="e0dMsLOcF3PXGS" int2:id="ajZ6k2yX">
      <int2:state int2:type="style" int2:value="Rejected"/>
    </int2:bookmark>
    <int2:bookmark int2:bookmarkName="_Int_shUKIp4N" int2:invalidationBookmarkName="" int2:hashCode="e0dMsLOcF3PXGS" int2:id="ZOGbIZ21">
      <int2:state int2:type="style" int2:value="Rejected"/>
    </int2:bookmark>
    <int2:bookmark int2:bookmarkName="_Int_1YyAx5Ma" int2:invalidationBookmarkName="" int2:hashCode="e0dMsLOcF3PXGS" int2:id="WpRmCQKN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00E77"/>
    <w:multiLevelType w:val="hybridMultilevel"/>
    <w:tmpl w:val="4190A92E"/>
    <w:lvl w:ilvl="0" w:tplc="1868CE1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322D43"/>
    <w:multiLevelType w:val="hybridMultilevel"/>
    <w:tmpl w:val="96A84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E27E55"/>
    <w:multiLevelType w:val="hybridMultilevel"/>
    <w:tmpl w:val="97A63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79B5"/>
    <w:rsid w:val="000E3451"/>
    <w:rsid w:val="001A6654"/>
    <w:rsid w:val="0028773C"/>
    <w:rsid w:val="002E2203"/>
    <w:rsid w:val="003D7F69"/>
    <w:rsid w:val="003E7AC6"/>
    <w:rsid w:val="00405BAD"/>
    <w:rsid w:val="004838D5"/>
    <w:rsid w:val="004C0009"/>
    <w:rsid w:val="00601D6B"/>
    <w:rsid w:val="00614F13"/>
    <w:rsid w:val="006E5634"/>
    <w:rsid w:val="00744F48"/>
    <w:rsid w:val="0076663B"/>
    <w:rsid w:val="007C7167"/>
    <w:rsid w:val="00830414"/>
    <w:rsid w:val="00886B4A"/>
    <w:rsid w:val="008A0959"/>
    <w:rsid w:val="008C1D33"/>
    <w:rsid w:val="008E59C0"/>
    <w:rsid w:val="009107DA"/>
    <w:rsid w:val="009B74AC"/>
    <w:rsid w:val="00A32D19"/>
    <w:rsid w:val="00A41206"/>
    <w:rsid w:val="00AC3E85"/>
    <w:rsid w:val="00B06E4E"/>
    <w:rsid w:val="00B47F2F"/>
    <w:rsid w:val="00B811ED"/>
    <w:rsid w:val="00B931C2"/>
    <w:rsid w:val="00B96188"/>
    <w:rsid w:val="00BE1E93"/>
    <w:rsid w:val="00C252C5"/>
    <w:rsid w:val="00C26B60"/>
    <w:rsid w:val="00C37B30"/>
    <w:rsid w:val="00C51655"/>
    <w:rsid w:val="00C518A5"/>
    <w:rsid w:val="00CE1182"/>
    <w:rsid w:val="00EC4A04"/>
    <w:rsid w:val="00EE64A0"/>
    <w:rsid w:val="00F42493"/>
    <w:rsid w:val="00F56264"/>
    <w:rsid w:val="174B39EC"/>
    <w:rsid w:val="182C66EC"/>
    <w:rsid w:val="1C0BBC7A"/>
    <w:rsid w:val="224AF07C"/>
    <w:rsid w:val="376F4D01"/>
    <w:rsid w:val="3A9E3711"/>
    <w:rsid w:val="3DD4836A"/>
    <w:rsid w:val="55496465"/>
    <w:rsid w:val="6AE09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5C12"/>
  <w15:chartTrackingRefBased/>
  <w15:docId w15:val="{CC7804BF-DCE9-4AF1-BE07-6169B16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7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41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ef3831db061d4d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Norfolk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Chanter</dc:creator>
  <keywords/>
  <dc:description/>
  <lastModifiedBy>Katy Chanter</lastModifiedBy>
  <revision>6</revision>
  <dcterms:created xsi:type="dcterms:W3CDTF">2024-06-17T08:43:00.0000000Z</dcterms:created>
  <dcterms:modified xsi:type="dcterms:W3CDTF">2026-05-14T18:20:30.2345511Z</dcterms:modified>
</coreProperties>
</file>